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973A" w14:textId="77777777" w:rsidR="00032901" w:rsidRPr="000E5531" w:rsidRDefault="00032901" w:rsidP="00032901">
      <w:pPr>
        <w:spacing w:line="276" w:lineRule="auto"/>
        <w:jc w:val="right"/>
        <w:rPr>
          <w:rFonts w:asciiTheme="majorHAnsi" w:hAnsiTheme="majorHAnsi" w:cstheme="majorHAnsi"/>
          <w:u w:val="single"/>
        </w:rPr>
      </w:pPr>
      <w:r w:rsidRPr="000E5531">
        <w:rPr>
          <w:rFonts w:asciiTheme="majorHAnsi" w:hAnsiTheme="majorHAnsi" w:cstheme="majorHAnsi"/>
          <w:u w:val="single"/>
        </w:rPr>
        <w:t>Communiqué de presse</w:t>
      </w:r>
    </w:p>
    <w:p w14:paraId="7A255ABE" w14:textId="77777777" w:rsidR="00B260D5" w:rsidRDefault="00B260D5" w:rsidP="002C4A3F">
      <w:pPr>
        <w:spacing w:after="0" w:line="240" w:lineRule="auto"/>
        <w:jc w:val="center"/>
        <w:rPr>
          <w:rFonts w:asciiTheme="majorHAnsi" w:hAnsiTheme="majorHAnsi" w:cstheme="majorHAnsi"/>
          <w:b/>
          <w:color w:val="0070C0"/>
          <w:sz w:val="30"/>
          <w:szCs w:val="30"/>
        </w:rPr>
      </w:pPr>
    </w:p>
    <w:p w14:paraId="06172097" w14:textId="77777777" w:rsidR="0019614A" w:rsidRPr="000E5531" w:rsidRDefault="0019614A" w:rsidP="002C4A3F">
      <w:pPr>
        <w:spacing w:after="0" w:line="240" w:lineRule="auto"/>
        <w:jc w:val="center"/>
        <w:rPr>
          <w:rFonts w:asciiTheme="majorHAnsi" w:hAnsiTheme="majorHAnsi" w:cstheme="majorHAnsi"/>
          <w:b/>
          <w:color w:val="0070C0"/>
          <w:sz w:val="30"/>
          <w:szCs w:val="30"/>
        </w:rPr>
      </w:pPr>
      <w:r w:rsidRPr="000E5531">
        <w:rPr>
          <w:rFonts w:asciiTheme="majorHAnsi" w:hAnsiTheme="majorHAnsi" w:cstheme="majorHAnsi"/>
          <w:b/>
          <w:color w:val="0070C0"/>
          <w:sz w:val="30"/>
          <w:szCs w:val="30"/>
        </w:rPr>
        <w:t>Conférence annuelle de l’ASEA :</w:t>
      </w:r>
    </w:p>
    <w:p w14:paraId="4049F42F" w14:textId="77777777" w:rsidR="00092517" w:rsidRPr="000E5531" w:rsidRDefault="0019614A" w:rsidP="002C4A3F">
      <w:pPr>
        <w:spacing w:after="0" w:line="240" w:lineRule="auto"/>
        <w:jc w:val="center"/>
        <w:rPr>
          <w:rFonts w:asciiTheme="majorHAnsi" w:hAnsiTheme="majorHAnsi" w:cstheme="majorHAnsi"/>
          <w:b/>
          <w:color w:val="0070C0"/>
          <w:sz w:val="30"/>
          <w:szCs w:val="30"/>
        </w:rPr>
      </w:pPr>
      <w:r w:rsidRPr="000E5531">
        <w:rPr>
          <w:rFonts w:asciiTheme="majorHAnsi" w:hAnsiTheme="majorHAnsi" w:cstheme="majorHAnsi"/>
          <w:b/>
          <w:color w:val="0070C0"/>
          <w:sz w:val="30"/>
          <w:szCs w:val="30"/>
        </w:rPr>
        <w:t xml:space="preserve"> </w:t>
      </w:r>
      <w:r w:rsidR="00B51945" w:rsidRPr="000E5531">
        <w:rPr>
          <w:rFonts w:asciiTheme="majorHAnsi" w:hAnsiTheme="majorHAnsi" w:cstheme="majorHAnsi"/>
          <w:b/>
          <w:color w:val="0070C0"/>
          <w:sz w:val="30"/>
          <w:szCs w:val="30"/>
        </w:rPr>
        <w:t xml:space="preserve">La Bourse de Casablanca </w:t>
      </w:r>
      <w:r w:rsidRPr="000E5531">
        <w:rPr>
          <w:rFonts w:asciiTheme="majorHAnsi" w:hAnsiTheme="majorHAnsi" w:cstheme="majorHAnsi"/>
          <w:b/>
          <w:color w:val="0070C0"/>
          <w:sz w:val="30"/>
          <w:szCs w:val="30"/>
        </w:rPr>
        <w:t xml:space="preserve">place la relance économique au cœur du débat </w:t>
      </w:r>
    </w:p>
    <w:p w14:paraId="702972CF" w14:textId="77777777" w:rsidR="00032901" w:rsidRPr="00DD295E" w:rsidRDefault="000E5531" w:rsidP="00DD295E">
      <w:pPr>
        <w:shd w:val="clear" w:color="auto" w:fill="FFFFFF"/>
        <w:spacing w:before="240" w:line="276" w:lineRule="auto"/>
        <w:jc w:val="both"/>
        <w:rPr>
          <w:rFonts w:asciiTheme="majorHAnsi" w:eastAsia="Times New Roman" w:hAnsiTheme="majorHAnsi" w:cstheme="majorHAnsi"/>
          <w:color w:val="222222"/>
          <w:sz w:val="24"/>
          <w:szCs w:val="24"/>
          <w:lang w:eastAsia="fr-FR"/>
        </w:rPr>
      </w:pPr>
      <w:r w:rsidRPr="00DD295E">
        <w:rPr>
          <w:rFonts w:asciiTheme="majorHAnsi" w:eastAsia="Times New Roman" w:hAnsiTheme="majorHAnsi" w:cstheme="majorHAnsi"/>
          <w:bCs/>
          <w:color w:val="222222"/>
          <w:sz w:val="24"/>
          <w:szCs w:val="24"/>
          <w:lang w:eastAsia="fr-FR"/>
        </w:rPr>
        <w:t>Casablanca le 19</w:t>
      </w:r>
      <w:r w:rsidR="006075C4" w:rsidRPr="00DD295E">
        <w:rPr>
          <w:rFonts w:asciiTheme="majorHAnsi" w:eastAsia="Times New Roman" w:hAnsiTheme="majorHAnsi" w:cstheme="majorHAnsi"/>
          <w:bCs/>
          <w:color w:val="222222"/>
          <w:sz w:val="24"/>
          <w:szCs w:val="24"/>
          <w:lang w:eastAsia="fr-FR"/>
        </w:rPr>
        <w:t xml:space="preserve"> novembre 2021 -</w:t>
      </w:r>
      <w:r w:rsidR="006075C4" w:rsidRPr="00DD295E">
        <w:rPr>
          <w:rFonts w:asciiTheme="majorHAnsi" w:eastAsia="Times New Roman" w:hAnsiTheme="majorHAnsi" w:cstheme="majorHAnsi"/>
          <w:b/>
          <w:bCs/>
          <w:color w:val="222222"/>
          <w:sz w:val="24"/>
          <w:szCs w:val="24"/>
          <w:lang w:eastAsia="fr-FR"/>
        </w:rPr>
        <w:t xml:space="preserve"> </w:t>
      </w:r>
      <w:r w:rsidR="00032901" w:rsidRPr="00DD295E">
        <w:rPr>
          <w:rFonts w:asciiTheme="majorHAnsi" w:eastAsia="Times New Roman" w:hAnsiTheme="majorHAnsi" w:cstheme="majorHAnsi"/>
          <w:b/>
          <w:bCs/>
          <w:color w:val="222222"/>
          <w:sz w:val="24"/>
          <w:szCs w:val="24"/>
          <w:lang w:eastAsia="fr-FR"/>
        </w:rPr>
        <w:t>Dans le cadre des travaux de la conférence annuelle de l’</w:t>
      </w:r>
      <w:proofErr w:type="spellStart"/>
      <w:r w:rsidR="00032901" w:rsidRPr="00DD295E">
        <w:rPr>
          <w:rFonts w:asciiTheme="majorHAnsi" w:eastAsia="Times New Roman" w:hAnsiTheme="majorHAnsi" w:cstheme="majorHAnsi"/>
          <w:b/>
          <w:bCs/>
          <w:color w:val="222222"/>
          <w:sz w:val="24"/>
          <w:szCs w:val="24"/>
          <w:lang w:eastAsia="fr-FR"/>
        </w:rPr>
        <w:t>African</w:t>
      </w:r>
      <w:proofErr w:type="spellEnd"/>
      <w:r w:rsidR="00032901" w:rsidRPr="00DD295E">
        <w:rPr>
          <w:rFonts w:asciiTheme="majorHAnsi" w:eastAsia="Times New Roman" w:hAnsiTheme="majorHAnsi" w:cstheme="majorHAnsi"/>
          <w:b/>
          <w:bCs/>
          <w:color w:val="222222"/>
          <w:sz w:val="24"/>
          <w:szCs w:val="24"/>
          <w:lang w:eastAsia="fr-FR"/>
        </w:rPr>
        <w:t xml:space="preserve"> Securities Exchanges Association (ASEA), qui se tient en ligne les 24 et 25 novembre, la Bourse de Casablanca crée le débat sur le Rôle des marchés financiers dans la relance et la croissance économique de l’Afrique. Au programme, une plénière et cinq panels. Détails !</w:t>
      </w:r>
    </w:p>
    <w:p w14:paraId="012650D6" w14:textId="77777777" w:rsidR="00C67E31" w:rsidRPr="00DD295E" w:rsidRDefault="00C67E31" w:rsidP="00DD295E">
      <w:pPr>
        <w:shd w:val="clear" w:color="auto" w:fill="FFFFFF"/>
        <w:spacing w:line="276" w:lineRule="auto"/>
        <w:jc w:val="both"/>
        <w:rPr>
          <w:rFonts w:asciiTheme="majorHAnsi" w:eastAsia="Times New Roman" w:hAnsiTheme="majorHAnsi" w:cstheme="majorHAnsi"/>
          <w:color w:val="222222"/>
          <w:sz w:val="24"/>
          <w:szCs w:val="24"/>
          <w:lang w:eastAsia="fr-FR"/>
        </w:rPr>
      </w:pPr>
      <w:r w:rsidRPr="00DD295E">
        <w:rPr>
          <w:rFonts w:asciiTheme="majorHAnsi" w:eastAsia="Times New Roman" w:hAnsiTheme="majorHAnsi" w:cstheme="majorHAnsi"/>
          <w:color w:val="222222"/>
          <w:sz w:val="24"/>
          <w:szCs w:val="24"/>
          <w:lang w:eastAsia="fr-FR"/>
        </w:rPr>
        <w:t>Placée sous le thème « Les marchés financiers, moteurs essentiels de l'émergence de l'Afrique», cette 24</w:t>
      </w:r>
      <w:r w:rsidRPr="00DD295E">
        <w:rPr>
          <w:rFonts w:asciiTheme="majorHAnsi" w:eastAsia="Times New Roman" w:hAnsiTheme="majorHAnsi" w:cstheme="majorHAnsi"/>
          <w:color w:val="222222"/>
          <w:sz w:val="24"/>
          <w:szCs w:val="24"/>
          <w:vertAlign w:val="superscript"/>
          <w:lang w:eastAsia="fr-FR"/>
        </w:rPr>
        <w:t>ème</w:t>
      </w:r>
      <w:r w:rsidRPr="00DD295E">
        <w:rPr>
          <w:rFonts w:asciiTheme="majorHAnsi" w:eastAsia="Times New Roman" w:hAnsiTheme="majorHAnsi" w:cstheme="majorHAnsi"/>
          <w:color w:val="222222"/>
          <w:sz w:val="24"/>
          <w:szCs w:val="24"/>
          <w:lang w:eastAsia="fr-FR"/>
        </w:rPr>
        <w:t> édition des Conférences annuelles de l’ASEA, abritée par la Bourse de Casablanca, promet un agenda riche avec à la clé la participation d'éminents intervenants internationaux.</w:t>
      </w:r>
    </w:p>
    <w:p w14:paraId="35F7C8EE" w14:textId="77777777" w:rsidR="00C079CE" w:rsidRPr="00DD295E" w:rsidRDefault="00C079CE" w:rsidP="00DD295E">
      <w:pPr>
        <w:shd w:val="clear" w:color="auto" w:fill="FFFFFF"/>
        <w:spacing w:line="276" w:lineRule="auto"/>
        <w:jc w:val="both"/>
        <w:rPr>
          <w:rFonts w:asciiTheme="majorHAnsi" w:eastAsia="Times New Roman" w:hAnsiTheme="majorHAnsi" w:cstheme="majorHAnsi"/>
          <w:color w:val="222222"/>
          <w:sz w:val="24"/>
          <w:szCs w:val="24"/>
          <w:lang w:eastAsia="fr-FR"/>
        </w:rPr>
      </w:pPr>
      <w:r w:rsidRPr="00DD295E">
        <w:rPr>
          <w:rFonts w:asciiTheme="majorHAnsi" w:eastAsia="Times New Roman" w:hAnsiTheme="majorHAnsi" w:cstheme="majorHAnsi"/>
          <w:color w:val="222222"/>
          <w:sz w:val="24"/>
          <w:szCs w:val="24"/>
          <w:lang w:eastAsia="fr-FR"/>
        </w:rPr>
        <w:t>Les travaux de la conférence ambitionnent, à travers différents panels, de donner des réponses à de multiples questions stratégiques relatives au développement des marchés financiers africains en particulier et à la croissance économique du continent en général.</w:t>
      </w:r>
    </w:p>
    <w:p w14:paraId="7DE42C39" w14:textId="77777777" w:rsidR="00C079CE" w:rsidRPr="00DD295E" w:rsidRDefault="006075C4" w:rsidP="00DD295E">
      <w:pPr>
        <w:shd w:val="clear" w:color="auto" w:fill="FFFFFF"/>
        <w:spacing w:line="276" w:lineRule="auto"/>
        <w:jc w:val="both"/>
        <w:rPr>
          <w:rFonts w:asciiTheme="majorHAnsi" w:eastAsia="Times New Roman" w:hAnsiTheme="majorHAnsi" w:cstheme="majorHAnsi"/>
          <w:color w:val="222222"/>
          <w:sz w:val="24"/>
          <w:szCs w:val="24"/>
          <w:lang w:eastAsia="fr-FR"/>
        </w:rPr>
      </w:pPr>
      <w:r w:rsidRPr="00DD295E">
        <w:rPr>
          <w:rFonts w:asciiTheme="majorHAnsi" w:eastAsia="Times New Roman" w:hAnsiTheme="majorHAnsi" w:cstheme="majorHAnsi"/>
          <w:color w:val="222222"/>
          <w:sz w:val="24"/>
          <w:szCs w:val="24"/>
          <w:lang w:eastAsia="fr-FR"/>
        </w:rPr>
        <w:t>Comment accélérer le développement des marchés financiers en Afrique ? Quels enjeux et défis de financement à l'épreuve du changement climatique ? Comment anticiper l'avenir des technologies d</w:t>
      </w:r>
      <w:r w:rsidR="000E5531" w:rsidRPr="00DD295E">
        <w:rPr>
          <w:rFonts w:asciiTheme="majorHAnsi" w:eastAsia="Times New Roman" w:hAnsiTheme="majorHAnsi" w:cstheme="majorHAnsi"/>
          <w:color w:val="222222"/>
          <w:sz w:val="24"/>
          <w:szCs w:val="24"/>
          <w:lang w:eastAsia="fr-FR"/>
        </w:rPr>
        <w:t>isruptives ?</w:t>
      </w:r>
      <w:r w:rsidR="002F7459" w:rsidRPr="00DD295E">
        <w:rPr>
          <w:rFonts w:asciiTheme="majorHAnsi" w:eastAsia="Times New Roman" w:hAnsiTheme="majorHAnsi" w:cstheme="majorHAnsi"/>
          <w:color w:val="222222"/>
          <w:sz w:val="24"/>
          <w:szCs w:val="24"/>
          <w:lang w:eastAsia="fr-FR"/>
        </w:rPr>
        <w:t xml:space="preserve"> </w:t>
      </w:r>
      <w:r w:rsidR="000E5531" w:rsidRPr="00DD295E">
        <w:rPr>
          <w:rFonts w:asciiTheme="majorHAnsi" w:eastAsia="Times New Roman" w:hAnsiTheme="majorHAnsi" w:cstheme="majorHAnsi"/>
          <w:color w:val="222222"/>
          <w:sz w:val="24"/>
          <w:szCs w:val="24"/>
          <w:lang w:eastAsia="fr-FR"/>
        </w:rPr>
        <w:t>... sont parmi les</w:t>
      </w:r>
      <w:r w:rsidRPr="00DD295E">
        <w:rPr>
          <w:rFonts w:asciiTheme="majorHAnsi" w:eastAsia="Times New Roman" w:hAnsiTheme="majorHAnsi" w:cstheme="majorHAnsi"/>
          <w:color w:val="222222"/>
          <w:sz w:val="24"/>
          <w:szCs w:val="24"/>
          <w:lang w:eastAsia="fr-FR"/>
        </w:rPr>
        <w:t xml:space="preserve"> problématiques</w:t>
      </w:r>
      <w:r w:rsidR="000E5531" w:rsidRPr="00DD295E">
        <w:rPr>
          <w:rFonts w:asciiTheme="majorHAnsi" w:eastAsia="Times New Roman" w:hAnsiTheme="majorHAnsi" w:cstheme="majorHAnsi"/>
          <w:color w:val="222222"/>
          <w:sz w:val="24"/>
          <w:szCs w:val="24"/>
          <w:lang w:eastAsia="fr-FR"/>
        </w:rPr>
        <w:t xml:space="preserve"> qui seront traitées durant la première </w:t>
      </w:r>
      <w:r w:rsidRPr="00DD295E">
        <w:rPr>
          <w:rFonts w:asciiTheme="majorHAnsi" w:eastAsia="Times New Roman" w:hAnsiTheme="majorHAnsi" w:cstheme="majorHAnsi"/>
          <w:color w:val="222222"/>
          <w:sz w:val="24"/>
          <w:szCs w:val="24"/>
          <w:lang w:eastAsia="fr-FR"/>
        </w:rPr>
        <w:t xml:space="preserve">journée de la conférence, qui se tient en ligne à partir de la Bourse de Casablanca. </w:t>
      </w:r>
      <w:r w:rsidR="00C079CE" w:rsidRPr="00DD295E">
        <w:rPr>
          <w:rFonts w:asciiTheme="majorHAnsi" w:eastAsia="Times New Roman" w:hAnsiTheme="majorHAnsi" w:cstheme="majorHAnsi"/>
          <w:color w:val="222222"/>
          <w:sz w:val="24"/>
          <w:szCs w:val="24"/>
          <w:lang w:eastAsia="fr-FR"/>
        </w:rPr>
        <w:t>Ce n’</w:t>
      </w:r>
      <w:r w:rsidR="00DD295E" w:rsidRPr="00DD295E">
        <w:rPr>
          <w:rFonts w:asciiTheme="majorHAnsi" w:eastAsia="Times New Roman" w:hAnsiTheme="majorHAnsi" w:cstheme="majorHAnsi"/>
          <w:color w:val="222222"/>
          <w:sz w:val="24"/>
          <w:szCs w:val="24"/>
          <w:lang w:eastAsia="fr-FR"/>
        </w:rPr>
        <w:t>est pas tout. La présentation d’un</w:t>
      </w:r>
      <w:r w:rsidR="00C079CE" w:rsidRPr="00DD295E">
        <w:rPr>
          <w:rFonts w:asciiTheme="majorHAnsi" w:eastAsia="Times New Roman" w:hAnsiTheme="majorHAnsi" w:cstheme="majorHAnsi"/>
          <w:color w:val="222222"/>
          <w:sz w:val="24"/>
          <w:szCs w:val="24"/>
          <w:lang w:eastAsia="fr-FR"/>
        </w:rPr>
        <w:t xml:space="preserve"> </w:t>
      </w:r>
      <w:r w:rsidR="00DD295E" w:rsidRPr="00DD295E">
        <w:rPr>
          <w:rFonts w:asciiTheme="majorHAnsi" w:eastAsia="Times New Roman" w:hAnsiTheme="majorHAnsi" w:cstheme="majorHAnsi"/>
          <w:color w:val="222222"/>
          <w:sz w:val="24"/>
          <w:szCs w:val="24"/>
          <w:lang w:eastAsia="fr-FR"/>
        </w:rPr>
        <w:t xml:space="preserve">important </w:t>
      </w:r>
      <w:r w:rsidR="00C079CE" w:rsidRPr="00DD295E">
        <w:rPr>
          <w:rFonts w:asciiTheme="majorHAnsi" w:eastAsia="Times New Roman" w:hAnsiTheme="majorHAnsi" w:cstheme="majorHAnsi"/>
          <w:color w:val="222222"/>
          <w:sz w:val="24"/>
          <w:szCs w:val="24"/>
          <w:lang w:eastAsia="fr-FR"/>
        </w:rPr>
        <w:t xml:space="preserve">rapport de </w:t>
      </w:r>
      <w:r w:rsidR="00FB442D" w:rsidRPr="00DD295E">
        <w:rPr>
          <w:rFonts w:asciiTheme="majorHAnsi" w:eastAsia="Times New Roman" w:hAnsiTheme="majorHAnsi" w:cstheme="majorHAnsi"/>
          <w:color w:val="222222"/>
          <w:sz w:val="24"/>
          <w:szCs w:val="24"/>
          <w:lang w:eastAsia="fr-FR"/>
        </w:rPr>
        <w:t>l’IFC</w:t>
      </w:r>
      <w:r w:rsidR="00C079CE" w:rsidRPr="00DD295E">
        <w:rPr>
          <w:rFonts w:asciiTheme="majorHAnsi" w:eastAsia="Times New Roman" w:hAnsiTheme="majorHAnsi" w:cstheme="majorHAnsi"/>
          <w:color w:val="222222"/>
          <w:sz w:val="24"/>
          <w:szCs w:val="24"/>
          <w:lang w:eastAsia="fr-FR"/>
        </w:rPr>
        <w:t xml:space="preserve"> sur </w:t>
      </w:r>
      <w:r w:rsidR="00FB442D" w:rsidRPr="00DD295E">
        <w:rPr>
          <w:rFonts w:asciiTheme="majorHAnsi" w:eastAsia="Times New Roman" w:hAnsiTheme="majorHAnsi" w:cstheme="majorHAnsi"/>
          <w:color w:val="222222"/>
          <w:sz w:val="24"/>
          <w:szCs w:val="24"/>
          <w:lang w:eastAsia="fr-FR"/>
        </w:rPr>
        <w:t>:</w:t>
      </w:r>
      <w:r w:rsidR="000E5531" w:rsidRPr="00DD295E">
        <w:rPr>
          <w:rFonts w:asciiTheme="majorHAnsi" w:eastAsia="Times New Roman" w:hAnsiTheme="majorHAnsi" w:cstheme="majorHAnsi"/>
          <w:color w:val="222222"/>
          <w:sz w:val="24"/>
          <w:szCs w:val="24"/>
          <w:lang w:eastAsia="fr-FR"/>
        </w:rPr>
        <w:t xml:space="preserve"> </w:t>
      </w:r>
      <w:r w:rsidR="000E5531" w:rsidRPr="00DD295E">
        <w:rPr>
          <w:rFonts w:asciiTheme="majorHAnsi" w:hAnsiTheme="majorHAnsi" w:cstheme="majorHAnsi"/>
          <w:color w:val="1F497D"/>
          <w:sz w:val="24"/>
          <w:szCs w:val="24"/>
          <w:shd w:val="clear" w:color="auto" w:fill="FFFFFF"/>
        </w:rPr>
        <w:t>«</w:t>
      </w:r>
      <w:r w:rsidR="000E5531" w:rsidRPr="00DD295E">
        <w:rPr>
          <w:rFonts w:asciiTheme="majorHAnsi" w:hAnsiTheme="majorHAnsi" w:cstheme="majorHAnsi"/>
          <w:color w:val="222222"/>
          <w:sz w:val="24"/>
          <w:szCs w:val="24"/>
          <w:shd w:val="clear" w:color="auto" w:fill="FFFFFF"/>
        </w:rPr>
        <w:t xml:space="preserve">Les entreprises publiques dans les économies émergentes et en développement - Leçons tirées </w:t>
      </w:r>
      <w:r w:rsidR="002C4A3F" w:rsidRPr="00DD295E">
        <w:rPr>
          <w:rFonts w:asciiTheme="majorHAnsi" w:hAnsiTheme="majorHAnsi" w:cstheme="majorHAnsi"/>
          <w:color w:val="222222"/>
          <w:sz w:val="24"/>
          <w:szCs w:val="24"/>
          <w:shd w:val="clear" w:color="auto" w:fill="FFFFFF"/>
        </w:rPr>
        <w:t>de 30 ans de succès et d'échecs</w:t>
      </w:r>
      <w:r w:rsidR="000E5531" w:rsidRPr="00DD295E">
        <w:rPr>
          <w:rFonts w:asciiTheme="majorHAnsi" w:hAnsiTheme="majorHAnsi" w:cstheme="majorHAnsi"/>
          <w:color w:val="222222"/>
          <w:sz w:val="24"/>
          <w:szCs w:val="24"/>
          <w:shd w:val="clear" w:color="auto" w:fill="FFFFFF"/>
        </w:rPr>
        <w:t>»</w:t>
      </w:r>
      <w:r w:rsidR="00C079CE" w:rsidRPr="00DD295E">
        <w:rPr>
          <w:rFonts w:asciiTheme="majorHAnsi" w:eastAsia="Times New Roman" w:hAnsiTheme="majorHAnsi" w:cstheme="majorHAnsi"/>
          <w:color w:val="222222"/>
          <w:sz w:val="24"/>
          <w:szCs w:val="24"/>
          <w:lang w:eastAsia="fr-FR"/>
        </w:rPr>
        <w:t xml:space="preserve"> est à l’ordre du jour.</w:t>
      </w:r>
    </w:p>
    <w:p w14:paraId="3581833D" w14:textId="77777777" w:rsidR="003070D8" w:rsidRPr="00DD295E" w:rsidRDefault="006075C4" w:rsidP="00DD295E">
      <w:pPr>
        <w:shd w:val="clear" w:color="auto" w:fill="FFFFFF"/>
        <w:spacing w:line="276" w:lineRule="auto"/>
        <w:jc w:val="both"/>
        <w:rPr>
          <w:rFonts w:asciiTheme="majorHAnsi" w:eastAsia="Times New Roman" w:hAnsiTheme="majorHAnsi" w:cstheme="majorHAnsi"/>
          <w:color w:val="222222"/>
          <w:sz w:val="24"/>
          <w:szCs w:val="24"/>
          <w:lang w:eastAsia="fr-FR"/>
        </w:rPr>
      </w:pPr>
      <w:r w:rsidRPr="00DD295E">
        <w:rPr>
          <w:rFonts w:asciiTheme="majorHAnsi" w:eastAsia="Times New Roman" w:hAnsiTheme="majorHAnsi" w:cstheme="majorHAnsi"/>
          <w:color w:val="222222"/>
          <w:sz w:val="24"/>
          <w:szCs w:val="24"/>
          <w:lang w:eastAsia="fr-FR"/>
        </w:rPr>
        <w:t>La journée du 25 novembre, quant à elle, mettra la lumière sur le projet de liaison des bourses africaines dans le cadre de l’intégration des marchés du continent, le financement mixte, le financement des PME</w:t>
      </w:r>
      <w:r w:rsidR="0062109F" w:rsidRPr="00DD295E">
        <w:rPr>
          <w:rFonts w:asciiTheme="majorHAnsi" w:eastAsia="Times New Roman" w:hAnsiTheme="majorHAnsi" w:cstheme="majorHAnsi"/>
          <w:color w:val="222222"/>
          <w:sz w:val="24"/>
          <w:szCs w:val="24"/>
          <w:lang w:eastAsia="fr-FR"/>
        </w:rPr>
        <w:t xml:space="preserve"> </w:t>
      </w:r>
      <w:r w:rsidRPr="00DD295E">
        <w:rPr>
          <w:rFonts w:asciiTheme="majorHAnsi" w:eastAsia="Times New Roman" w:hAnsiTheme="majorHAnsi" w:cstheme="majorHAnsi"/>
          <w:color w:val="222222"/>
          <w:sz w:val="24"/>
          <w:szCs w:val="24"/>
          <w:lang w:eastAsia="fr-FR"/>
        </w:rPr>
        <w:t xml:space="preserve">et l’investissement d’impact. Il est à noter que c’est pendant cette deuxième journée que sera </w:t>
      </w:r>
      <w:r w:rsidR="000E5531" w:rsidRPr="00DD295E">
        <w:rPr>
          <w:rFonts w:asciiTheme="majorHAnsi" w:eastAsia="Times New Roman" w:hAnsiTheme="majorHAnsi" w:cstheme="majorHAnsi"/>
          <w:color w:val="222222"/>
          <w:sz w:val="24"/>
          <w:szCs w:val="24"/>
          <w:lang w:eastAsia="fr-FR"/>
        </w:rPr>
        <w:t>présenté</w:t>
      </w:r>
      <w:r w:rsidRPr="00DD295E">
        <w:rPr>
          <w:rFonts w:asciiTheme="majorHAnsi" w:eastAsia="Times New Roman" w:hAnsiTheme="majorHAnsi" w:cstheme="majorHAnsi"/>
          <w:color w:val="222222"/>
          <w:sz w:val="24"/>
          <w:szCs w:val="24"/>
          <w:lang w:eastAsia="fr-FR"/>
        </w:rPr>
        <w:t xml:space="preserve"> le rapport de l’ASEA sur le développement durable.</w:t>
      </w:r>
    </w:p>
    <w:p w14:paraId="449490CE" w14:textId="77777777" w:rsidR="00C079CE" w:rsidRPr="00DD295E" w:rsidRDefault="00C079CE" w:rsidP="00DD295E">
      <w:pPr>
        <w:shd w:val="clear" w:color="auto" w:fill="FFFFFF"/>
        <w:spacing w:line="276" w:lineRule="auto"/>
        <w:jc w:val="both"/>
        <w:rPr>
          <w:rFonts w:asciiTheme="majorHAnsi" w:eastAsia="Times New Roman" w:hAnsiTheme="majorHAnsi" w:cstheme="majorHAnsi"/>
          <w:color w:val="222222"/>
          <w:sz w:val="24"/>
          <w:szCs w:val="24"/>
          <w:lang w:eastAsia="fr-FR"/>
        </w:rPr>
      </w:pPr>
      <w:r w:rsidRPr="00DD295E">
        <w:rPr>
          <w:rFonts w:asciiTheme="majorHAnsi" w:eastAsia="Times New Roman" w:hAnsiTheme="majorHAnsi" w:cstheme="majorHAnsi"/>
          <w:color w:val="222222"/>
          <w:sz w:val="24"/>
          <w:szCs w:val="24"/>
          <w:lang w:eastAsia="fr-FR"/>
        </w:rPr>
        <w:t>Les panels seront animés par une trentaine d’experts internationaux venant de différents pays du monde tels que le Royaume Unis, les Etats Unis d’Amérique, l’Afrique du Sud, l’Arabie Saoudite, le Botswana, le Cameroun, l’Egypte, les Emirats Arabes Unis, Maurice, le Kenya, le Maroc, le Nigeria, le Sénégal et le Togo.</w:t>
      </w:r>
    </w:p>
    <w:p w14:paraId="1283F9EB" w14:textId="77777777" w:rsidR="002C4A3F" w:rsidRPr="00DD295E" w:rsidRDefault="002C4A3F" w:rsidP="00DD295E">
      <w:pPr>
        <w:shd w:val="clear" w:color="auto" w:fill="FFFFFF"/>
        <w:spacing w:line="276" w:lineRule="auto"/>
        <w:rPr>
          <w:rFonts w:asciiTheme="majorHAnsi" w:hAnsiTheme="majorHAnsi" w:cstheme="majorHAnsi"/>
          <w:sz w:val="24"/>
          <w:szCs w:val="24"/>
        </w:rPr>
      </w:pPr>
      <w:r w:rsidRPr="00DD295E">
        <w:rPr>
          <w:rFonts w:asciiTheme="majorHAnsi" w:eastAsia="Times New Roman" w:hAnsiTheme="majorHAnsi" w:cstheme="majorHAnsi"/>
          <w:sz w:val="24"/>
          <w:szCs w:val="24"/>
          <w:lang w:eastAsia="fr-FR"/>
        </w:rPr>
        <w:t>Pour assister à la Conférence, la Bourse de Casablanca a mis en place une interface digitale dédiée accessible via l’url : </w:t>
      </w:r>
      <w:hyperlink r:id="rId7" w:history="1">
        <w:r w:rsidRPr="00DD295E">
          <w:rPr>
            <w:rStyle w:val="Lienhypertexte"/>
            <w:rFonts w:asciiTheme="majorHAnsi" w:hAnsiTheme="majorHAnsi" w:cstheme="majorHAnsi"/>
            <w:sz w:val="24"/>
            <w:szCs w:val="24"/>
          </w:rPr>
          <w:t>www.aseaconference.ma</w:t>
        </w:r>
      </w:hyperlink>
      <w:r w:rsidRPr="00DD295E">
        <w:rPr>
          <w:rFonts w:asciiTheme="majorHAnsi" w:hAnsiTheme="majorHAnsi" w:cstheme="majorHAnsi"/>
          <w:sz w:val="24"/>
          <w:szCs w:val="24"/>
        </w:rPr>
        <w:t xml:space="preserve">. </w:t>
      </w:r>
    </w:p>
    <w:p w14:paraId="6C175FFF" w14:textId="77777777" w:rsidR="00C67E31" w:rsidRDefault="00C67E31" w:rsidP="002C4A3F">
      <w:pPr>
        <w:spacing w:after="0" w:line="276" w:lineRule="auto"/>
        <w:jc w:val="center"/>
        <w:rPr>
          <w:rFonts w:asciiTheme="majorHAnsi" w:hAnsiTheme="majorHAnsi" w:cstheme="majorHAnsi"/>
          <w:b/>
          <w:color w:val="0070C0"/>
          <w:sz w:val="24"/>
          <w:szCs w:val="24"/>
        </w:rPr>
      </w:pPr>
    </w:p>
    <w:p w14:paraId="57CA993E" w14:textId="77777777" w:rsidR="002C4A3F" w:rsidRDefault="002C4A3F" w:rsidP="002C4A3F">
      <w:pPr>
        <w:spacing w:after="0" w:line="276" w:lineRule="auto"/>
        <w:jc w:val="center"/>
        <w:rPr>
          <w:rFonts w:asciiTheme="majorHAnsi" w:hAnsiTheme="majorHAnsi" w:cstheme="majorHAnsi"/>
          <w:b/>
          <w:color w:val="0070C0"/>
          <w:sz w:val="24"/>
          <w:szCs w:val="24"/>
        </w:rPr>
      </w:pPr>
      <w:r>
        <w:rPr>
          <w:rFonts w:asciiTheme="majorHAnsi" w:hAnsiTheme="majorHAnsi" w:cstheme="majorHAnsi"/>
          <w:b/>
          <w:color w:val="0070C0"/>
          <w:sz w:val="24"/>
          <w:szCs w:val="24"/>
        </w:rPr>
        <w:t xml:space="preserve">Vous voulez assister en ligne à </w:t>
      </w:r>
      <w:r w:rsidRPr="003070D8">
        <w:rPr>
          <w:rFonts w:asciiTheme="majorHAnsi" w:hAnsiTheme="majorHAnsi" w:cstheme="majorHAnsi"/>
          <w:b/>
          <w:color w:val="0070C0"/>
          <w:sz w:val="24"/>
          <w:szCs w:val="24"/>
        </w:rPr>
        <w:t>la 24</w:t>
      </w:r>
      <w:r w:rsidRPr="003070D8">
        <w:rPr>
          <w:rFonts w:asciiTheme="majorHAnsi" w:hAnsiTheme="majorHAnsi" w:cstheme="majorHAnsi"/>
          <w:b/>
          <w:color w:val="0070C0"/>
          <w:sz w:val="24"/>
          <w:szCs w:val="24"/>
          <w:vertAlign w:val="superscript"/>
        </w:rPr>
        <w:t>ème</w:t>
      </w:r>
      <w:r w:rsidRPr="003070D8">
        <w:rPr>
          <w:rFonts w:asciiTheme="majorHAnsi" w:hAnsiTheme="majorHAnsi" w:cstheme="majorHAnsi"/>
          <w:b/>
          <w:color w:val="0070C0"/>
          <w:sz w:val="24"/>
          <w:szCs w:val="24"/>
        </w:rPr>
        <w:t xml:space="preserve"> Conférence de l’ASEA</w:t>
      </w:r>
      <w:r>
        <w:rPr>
          <w:rFonts w:asciiTheme="majorHAnsi" w:hAnsiTheme="majorHAnsi" w:cstheme="majorHAnsi"/>
          <w:b/>
          <w:color w:val="0070C0"/>
          <w:sz w:val="24"/>
          <w:szCs w:val="24"/>
        </w:rPr>
        <w:t xml:space="preserve"> ? </w:t>
      </w:r>
    </w:p>
    <w:p w14:paraId="1265D70A" w14:textId="77777777" w:rsidR="002C4A3F" w:rsidRDefault="002C4A3F" w:rsidP="002C4A3F">
      <w:pPr>
        <w:spacing w:after="0" w:line="276" w:lineRule="auto"/>
        <w:jc w:val="center"/>
        <w:rPr>
          <w:rFonts w:asciiTheme="majorHAnsi" w:hAnsiTheme="majorHAnsi" w:cstheme="majorHAnsi"/>
        </w:rPr>
      </w:pPr>
      <w:r w:rsidRPr="002C4A3F">
        <w:rPr>
          <w:rFonts w:asciiTheme="majorHAnsi" w:hAnsiTheme="majorHAnsi" w:cstheme="majorHAnsi"/>
          <w:b/>
          <w:sz w:val="24"/>
          <w:szCs w:val="24"/>
        </w:rPr>
        <w:t xml:space="preserve">Inscrivez-vous </w:t>
      </w:r>
      <w:hyperlink r:id="rId8" w:history="1">
        <w:r w:rsidRPr="002C4A3F">
          <w:rPr>
            <w:rStyle w:val="Lienhypertexte"/>
            <w:rFonts w:asciiTheme="majorHAnsi" w:hAnsiTheme="majorHAnsi" w:cstheme="majorHAnsi"/>
            <w:b/>
            <w:sz w:val="24"/>
            <w:szCs w:val="24"/>
          </w:rPr>
          <w:t>par ici</w:t>
        </w:r>
      </w:hyperlink>
      <w:r w:rsidRPr="002C4A3F">
        <w:rPr>
          <w:rFonts w:asciiTheme="majorHAnsi" w:hAnsiTheme="majorHAnsi" w:cstheme="majorHAnsi"/>
          <w:b/>
          <w:sz w:val="24"/>
          <w:szCs w:val="24"/>
        </w:rPr>
        <w:t xml:space="preserve"> </w:t>
      </w:r>
    </w:p>
    <w:p w14:paraId="13DB8C99" w14:textId="77777777" w:rsidR="00032901" w:rsidRPr="003070D8" w:rsidRDefault="002C4A3F" w:rsidP="003070D8">
      <w:pPr>
        <w:spacing w:before="240" w:line="276" w:lineRule="auto"/>
        <w:jc w:val="center"/>
        <w:rPr>
          <w:rFonts w:asciiTheme="majorHAnsi" w:hAnsiTheme="majorHAnsi" w:cstheme="majorHAnsi"/>
          <w:b/>
          <w:color w:val="0070C0"/>
          <w:sz w:val="24"/>
          <w:szCs w:val="24"/>
        </w:rPr>
      </w:pPr>
      <w:r>
        <w:rPr>
          <w:rFonts w:asciiTheme="majorHAnsi" w:hAnsiTheme="majorHAnsi" w:cstheme="majorHAnsi"/>
          <w:b/>
          <w:color w:val="0070C0"/>
          <w:sz w:val="24"/>
          <w:szCs w:val="24"/>
        </w:rPr>
        <w:t xml:space="preserve">Voulez-vous suivre </w:t>
      </w:r>
      <w:r w:rsidR="006075C4" w:rsidRPr="003070D8">
        <w:rPr>
          <w:rFonts w:asciiTheme="majorHAnsi" w:hAnsiTheme="majorHAnsi" w:cstheme="majorHAnsi"/>
          <w:b/>
          <w:color w:val="0070C0"/>
          <w:sz w:val="24"/>
          <w:szCs w:val="24"/>
        </w:rPr>
        <w:t>la 24</w:t>
      </w:r>
      <w:r w:rsidR="006075C4" w:rsidRPr="003070D8">
        <w:rPr>
          <w:rFonts w:asciiTheme="majorHAnsi" w:hAnsiTheme="majorHAnsi" w:cstheme="majorHAnsi"/>
          <w:b/>
          <w:color w:val="0070C0"/>
          <w:sz w:val="24"/>
          <w:szCs w:val="24"/>
          <w:vertAlign w:val="superscript"/>
        </w:rPr>
        <w:t>ème</w:t>
      </w:r>
      <w:r w:rsidR="006075C4" w:rsidRPr="003070D8">
        <w:rPr>
          <w:rFonts w:asciiTheme="majorHAnsi" w:hAnsiTheme="majorHAnsi" w:cstheme="majorHAnsi"/>
          <w:b/>
          <w:color w:val="0070C0"/>
          <w:sz w:val="24"/>
          <w:szCs w:val="24"/>
        </w:rPr>
        <w:t xml:space="preserve"> Conférence de l’ASEA</w:t>
      </w:r>
      <w:r w:rsidR="003070D8">
        <w:rPr>
          <w:rFonts w:asciiTheme="majorHAnsi" w:hAnsiTheme="majorHAnsi" w:cstheme="majorHAnsi"/>
          <w:b/>
          <w:color w:val="0070C0"/>
          <w:sz w:val="24"/>
          <w:szCs w:val="24"/>
        </w:rPr>
        <w:t> </w:t>
      </w:r>
      <w:r>
        <w:rPr>
          <w:rFonts w:asciiTheme="majorHAnsi" w:hAnsiTheme="majorHAnsi" w:cstheme="majorHAnsi"/>
          <w:b/>
          <w:color w:val="0070C0"/>
          <w:sz w:val="24"/>
          <w:szCs w:val="24"/>
        </w:rPr>
        <w:t>sur les réseaux sociaux ?</w:t>
      </w:r>
    </w:p>
    <w:p w14:paraId="68AD92B6" w14:textId="77777777" w:rsidR="00032901" w:rsidRPr="00885768" w:rsidRDefault="00032901" w:rsidP="002C4A3F">
      <w:pPr>
        <w:spacing w:line="276" w:lineRule="auto"/>
        <w:rPr>
          <w:rFonts w:asciiTheme="majorHAnsi" w:hAnsiTheme="majorHAnsi" w:cstheme="majorHAnsi"/>
          <w:lang w:val="en-US"/>
        </w:rPr>
      </w:pPr>
      <w:r w:rsidRPr="000E5531">
        <w:rPr>
          <w:rFonts w:asciiTheme="majorHAnsi" w:hAnsiTheme="majorHAnsi" w:cstheme="majorHAnsi"/>
          <w:noProof/>
          <w:lang w:eastAsia="fr-FR"/>
        </w:rPr>
        <w:drawing>
          <wp:inline distT="0" distB="0" distL="0" distR="0" wp14:anchorId="3EDCA6BC" wp14:editId="31F549DF">
            <wp:extent cx="266700" cy="266700"/>
            <wp:effectExtent l="0" t="0" r="0" b="0"/>
            <wp:docPr id="3" name="Image 3" descr="Linkedin - Icônes des médias sociaux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 Icônes des médias sociaux gratui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885768" w:rsidRPr="00885768">
        <w:rPr>
          <w:lang w:val="en-US"/>
        </w:rPr>
        <w:t xml:space="preserve"> </w:t>
      </w:r>
      <w:hyperlink r:id="rId10" w:tgtFrame="_blank" w:history="1">
        <w:r w:rsidR="00885768" w:rsidRPr="00885768">
          <w:rPr>
            <w:rStyle w:val="Lienhypertexte"/>
            <w:rFonts w:ascii="Calibri Light" w:hAnsi="Calibri Light" w:cs="Calibri Light"/>
            <w:color w:val="0563C1"/>
            <w:sz w:val="18"/>
            <w:szCs w:val="18"/>
            <w:shd w:val="clear" w:color="auto" w:fill="FFFFFF"/>
            <w:lang w:val="en-US"/>
          </w:rPr>
          <w:t>/company/</w:t>
        </w:r>
        <w:proofErr w:type="spellStart"/>
        <w:r w:rsidR="00885768" w:rsidRPr="00885768">
          <w:rPr>
            <w:rStyle w:val="Lienhypertexte"/>
            <w:rFonts w:ascii="Calibri Light" w:hAnsi="Calibri Light" w:cs="Calibri Light"/>
            <w:color w:val="0563C1"/>
            <w:sz w:val="18"/>
            <w:szCs w:val="18"/>
            <w:shd w:val="clear" w:color="auto" w:fill="FFFFFF"/>
            <w:lang w:val="en-US"/>
          </w:rPr>
          <w:t>casablanca</w:t>
        </w:r>
        <w:proofErr w:type="spellEnd"/>
        <w:r w:rsidR="00885768" w:rsidRPr="00885768">
          <w:rPr>
            <w:rStyle w:val="Lienhypertexte"/>
            <w:rFonts w:ascii="Calibri Light" w:hAnsi="Calibri Light" w:cs="Calibri Light"/>
            <w:color w:val="0563C1"/>
            <w:sz w:val="18"/>
            <w:szCs w:val="18"/>
            <w:shd w:val="clear" w:color="auto" w:fill="FFFFFF"/>
            <w:lang w:val="en-US"/>
          </w:rPr>
          <w:t>-stock-exchange/</w:t>
        </w:r>
      </w:hyperlink>
      <w:r w:rsidR="00885768">
        <w:rPr>
          <w:rFonts w:asciiTheme="majorHAnsi" w:hAnsiTheme="majorHAnsi" w:cstheme="majorHAnsi"/>
          <w:lang w:val="en-US"/>
        </w:rPr>
        <w:t xml:space="preserve">        </w:t>
      </w:r>
      <w:r w:rsidR="002C4A3F" w:rsidRPr="00885768">
        <w:rPr>
          <w:rFonts w:asciiTheme="majorHAnsi" w:hAnsiTheme="majorHAnsi" w:cstheme="majorHAnsi"/>
          <w:lang w:val="en-US"/>
        </w:rPr>
        <w:t xml:space="preserve"> </w:t>
      </w:r>
      <w:r w:rsidR="003070D8" w:rsidRPr="00885768">
        <w:rPr>
          <w:rFonts w:asciiTheme="majorHAnsi" w:hAnsiTheme="majorHAnsi" w:cstheme="majorHAnsi"/>
          <w:lang w:val="en-US"/>
        </w:rPr>
        <w:t xml:space="preserve"> </w:t>
      </w:r>
      <w:r w:rsidR="006075C4" w:rsidRPr="000E5531">
        <w:rPr>
          <w:rFonts w:asciiTheme="majorHAnsi" w:hAnsiTheme="majorHAnsi" w:cstheme="majorHAnsi"/>
          <w:noProof/>
          <w:lang w:eastAsia="fr-FR"/>
        </w:rPr>
        <w:drawing>
          <wp:inline distT="0" distB="0" distL="0" distR="0" wp14:anchorId="2A1FC61B" wp14:editId="1FFFC856">
            <wp:extent cx="304800" cy="304800"/>
            <wp:effectExtent l="0" t="0" r="0" b="0"/>
            <wp:docPr id="5" name="Image 5" descr="Icône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ône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85768" w:rsidRPr="00885768">
        <w:rPr>
          <w:lang w:val="en-US"/>
        </w:rPr>
        <w:t xml:space="preserve"> </w:t>
      </w:r>
      <w:hyperlink r:id="rId12" w:tgtFrame="_blank" w:history="1">
        <w:r w:rsidR="00885768" w:rsidRPr="00885768">
          <w:rPr>
            <w:rStyle w:val="Lienhypertexte"/>
            <w:rFonts w:asciiTheme="majorHAnsi" w:hAnsiTheme="majorHAnsi" w:cstheme="majorHAnsi"/>
            <w:color w:val="0563C1"/>
            <w:sz w:val="18"/>
            <w:szCs w:val="18"/>
            <w:shd w:val="clear" w:color="auto" w:fill="FFFFFF"/>
            <w:lang w:val="en-US"/>
          </w:rPr>
          <w:t>/</w:t>
        </w:r>
        <w:proofErr w:type="spellStart"/>
        <w:r w:rsidR="00885768" w:rsidRPr="00885768">
          <w:rPr>
            <w:rStyle w:val="Lienhypertexte"/>
            <w:rFonts w:asciiTheme="majorHAnsi" w:hAnsiTheme="majorHAnsi" w:cstheme="majorHAnsi"/>
            <w:color w:val="0563C1"/>
            <w:sz w:val="18"/>
            <w:szCs w:val="18"/>
            <w:shd w:val="clear" w:color="auto" w:fill="FFFFFF"/>
            <w:lang w:val="en-US"/>
          </w:rPr>
          <w:t>BoursedeCasa</w:t>
        </w:r>
        <w:proofErr w:type="spellEnd"/>
      </w:hyperlink>
      <w:r w:rsidR="00885768" w:rsidRPr="00885768">
        <w:rPr>
          <w:lang w:val="en-US"/>
        </w:rPr>
        <w:t xml:space="preserve">        </w:t>
      </w:r>
      <w:r w:rsidR="002C4A3F" w:rsidRPr="000E5531">
        <w:rPr>
          <w:rFonts w:asciiTheme="majorHAnsi" w:hAnsiTheme="majorHAnsi" w:cstheme="majorHAnsi"/>
          <w:noProof/>
          <w:lang w:eastAsia="fr-FR"/>
        </w:rPr>
        <w:drawing>
          <wp:inline distT="0" distB="0" distL="0" distR="0" wp14:anchorId="32B54C82" wp14:editId="7044D2B8">
            <wp:extent cx="311150" cy="311150"/>
            <wp:effectExtent l="0" t="0" r="0" b="0"/>
            <wp:docPr id="4" name="Image 4" descr="Icône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ône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00885768" w:rsidRPr="00885768">
        <w:rPr>
          <w:lang w:val="en-US"/>
        </w:rPr>
        <w:t xml:space="preserve"> </w:t>
      </w:r>
      <w:hyperlink r:id="rId14" w:tgtFrame="_blank" w:history="1">
        <w:r w:rsidR="00885768" w:rsidRPr="00885768">
          <w:rPr>
            <w:rStyle w:val="Lienhypertexte"/>
            <w:rFonts w:asciiTheme="majorHAnsi" w:hAnsiTheme="majorHAnsi" w:cstheme="majorHAnsi"/>
            <w:sz w:val="18"/>
            <w:szCs w:val="18"/>
            <w:shd w:val="clear" w:color="auto" w:fill="FFFFFF"/>
            <w:lang w:val="en-US"/>
          </w:rPr>
          <w:t>/user/</w:t>
        </w:r>
        <w:proofErr w:type="spellStart"/>
        <w:r w:rsidR="00885768" w:rsidRPr="00885768">
          <w:rPr>
            <w:rStyle w:val="Lienhypertexte"/>
            <w:rFonts w:asciiTheme="majorHAnsi" w:hAnsiTheme="majorHAnsi" w:cstheme="majorHAnsi"/>
            <w:sz w:val="18"/>
            <w:szCs w:val="18"/>
            <w:shd w:val="clear" w:color="auto" w:fill="FFFFFF"/>
            <w:lang w:val="en-US"/>
          </w:rPr>
          <w:t>LaBoursedeCasablanca</w:t>
        </w:r>
        <w:proofErr w:type="spellEnd"/>
      </w:hyperlink>
      <w:r w:rsidR="003070D8" w:rsidRPr="00885768">
        <w:rPr>
          <w:rFonts w:asciiTheme="majorHAnsi" w:hAnsiTheme="majorHAnsi" w:cstheme="majorHAnsi"/>
          <w:lang w:val="en-US"/>
        </w:rPr>
        <w:t xml:space="preserve"> </w:t>
      </w:r>
    </w:p>
    <w:p w14:paraId="65E234BE" w14:textId="77777777" w:rsidR="00B260D5" w:rsidRPr="00B60B11" w:rsidRDefault="00B260D5" w:rsidP="00032901">
      <w:pPr>
        <w:spacing w:line="276" w:lineRule="auto"/>
        <w:jc w:val="center"/>
        <w:rPr>
          <w:rFonts w:asciiTheme="majorHAnsi" w:hAnsiTheme="majorHAnsi" w:cstheme="majorHAnsi"/>
          <w:lang w:val="en-US"/>
        </w:rPr>
      </w:pPr>
    </w:p>
    <w:p w14:paraId="320E5B0E" w14:textId="77777777" w:rsidR="00032901" w:rsidRPr="000E5531" w:rsidRDefault="00032901" w:rsidP="00032901">
      <w:pPr>
        <w:spacing w:line="276" w:lineRule="auto"/>
        <w:jc w:val="center"/>
        <w:rPr>
          <w:rFonts w:asciiTheme="majorHAnsi" w:hAnsiTheme="majorHAnsi" w:cstheme="majorHAnsi"/>
          <w:b/>
          <w:sz w:val="24"/>
          <w:szCs w:val="24"/>
        </w:rPr>
      </w:pPr>
      <w:r w:rsidRPr="000E5531">
        <w:rPr>
          <w:rFonts w:asciiTheme="majorHAnsi" w:hAnsiTheme="majorHAnsi" w:cstheme="majorHAnsi"/>
        </w:rPr>
        <w:t>……………………………………………………………………Fin…………………………………………………………………………</w:t>
      </w:r>
    </w:p>
    <w:p w14:paraId="6BC7EF7E" w14:textId="77777777" w:rsidR="00C67E31" w:rsidRDefault="00C67E31" w:rsidP="003070D8">
      <w:pPr>
        <w:spacing w:after="0" w:line="276" w:lineRule="auto"/>
        <w:rPr>
          <w:rFonts w:asciiTheme="majorHAnsi" w:hAnsiTheme="majorHAnsi" w:cstheme="majorHAnsi"/>
          <w:b/>
          <w:sz w:val="24"/>
          <w:szCs w:val="24"/>
        </w:rPr>
      </w:pPr>
    </w:p>
    <w:p w14:paraId="703B9295" w14:textId="77777777" w:rsidR="003070D8" w:rsidRPr="002C4A3F" w:rsidRDefault="00147E56" w:rsidP="003070D8">
      <w:pPr>
        <w:spacing w:after="0" w:line="276" w:lineRule="auto"/>
        <w:rPr>
          <w:rFonts w:asciiTheme="majorHAnsi" w:hAnsiTheme="majorHAnsi" w:cstheme="majorHAnsi"/>
          <w:b/>
          <w:sz w:val="24"/>
          <w:szCs w:val="24"/>
        </w:rPr>
      </w:pPr>
      <w:r w:rsidRPr="002C4A3F">
        <w:rPr>
          <w:rFonts w:asciiTheme="majorHAnsi" w:hAnsiTheme="majorHAnsi" w:cstheme="majorHAnsi"/>
          <w:b/>
          <w:sz w:val="24"/>
          <w:szCs w:val="24"/>
        </w:rPr>
        <w:t xml:space="preserve">A propos de l’ASEA </w:t>
      </w:r>
    </w:p>
    <w:p w14:paraId="387347DB" w14:textId="77777777" w:rsidR="00147E56" w:rsidRPr="003070D8" w:rsidRDefault="00147E56" w:rsidP="003070D8">
      <w:pPr>
        <w:spacing w:after="0" w:line="276" w:lineRule="auto"/>
        <w:jc w:val="both"/>
        <w:rPr>
          <w:rFonts w:asciiTheme="majorHAnsi" w:hAnsiTheme="majorHAnsi" w:cstheme="majorHAnsi"/>
          <w:b/>
        </w:rPr>
      </w:pPr>
      <w:r w:rsidRPr="003070D8">
        <w:rPr>
          <w:rFonts w:asciiTheme="majorHAnsi" w:hAnsiTheme="majorHAnsi" w:cstheme="majorHAnsi"/>
          <w:sz w:val="20"/>
          <w:szCs w:val="20"/>
        </w:rPr>
        <w:t>L'African Securities Exchanges Association (ASEA) est la première association des bourses de valeurs mobilières en Afrique qui a pour objectif de développer les bourses membres et fournir une plateforme de mise en réseau.</w:t>
      </w:r>
    </w:p>
    <w:p w14:paraId="39985B6D" w14:textId="77777777" w:rsidR="00147E56" w:rsidRPr="003070D8" w:rsidRDefault="00147E56" w:rsidP="003070D8">
      <w:p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L'ASEA a été créée en 1993 et travaille en étroite collaboration avec ses membres afin de libérer le potentiel des marchés financiers africains et des économies africaines en : </w:t>
      </w:r>
    </w:p>
    <w:p w14:paraId="24F82749" w14:textId="77777777" w:rsidR="00147E56" w:rsidRPr="003070D8" w:rsidRDefault="00147E56" w:rsidP="003070D8">
      <w:pPr>
        <w:pStyle w:val="Paragraphedeliste"/>
        <w:numPr>
          <w:ilvl w:val="0"/>
          <w:numId w:val="3"/>
        </w:num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améliorant la visibilité de ses membres au niveau international pour attirer les flux de capitaux vers les marchés de capitaux africains ; </w:t>
      </w:r>
    </w:p>
    <w:p w14:paraId="5F07E852" w14:textId="77777777" w:rsidR="00147E56" w:rsidRPr="003070D8" w:rsidRDefault="00147E56" w:rsidP="003070D8">
      <w:pPr>
        <w:pStyle w:val="Paragraphedeliste"/>
        <w:numPr>
          <w:ilvl w:val="0"/>
          <w:numId w:val="3"/>
        </w:num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étant un portail d'information faisant autorité sur les marchés publics africains et en fournissant des statistiques et des informations agrégées sur les bourses africaines ; </w:t>
      </w:r>
    </w:p>
    <w:p w14:paraId="4D687299" w14:textId="77777777" w:rsidR="00147E56" w:rsidRPr="003070D8" w:rsidRDefault="00147E56" w:rsidP="003070D8">
      <w:pPr>
        <w:pStyle w:val="Paragraphedeliste"/>
        <w:numPr>
          <w:ilvl w:val="0"/>
          <w:numId w:val="3"/>
        </w:num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étant une voix puissante de lobbying et de plaidoyer pour les Bourses membres ; </w:t>
      </w:r>
    </w:p>
    <w:p w14:paraId="3B012522" w14:textId="77777777" w:rsidR="00147E56" w:rsidRPr="003070D8" w:rsidRDefault="00147E56" w:rsidP="003070D8">
      <w:pPr>
        <w:pStyle w:val="Paragraphedeliste"/>
        <w:numPr>
          <w:ilvl w:val="0"/>
          <w:numId w:val="3"/>
        </w:num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promouvant le développement du marché parmi les Bourses membres ; </w:t>
      </w:r>
    </w:p>
    <w:p w14:paraId="35FA631E" w14:textId="77777777" w:rsidR="00147E56" w:rsidRPr="003070D8" w:rsidRDefault="00147E56" w:rsidP="003070D8">
      <w:pPr>
        <w:pStyle w:val="Paragraphedeliste"/>
        <w:numPr>
          <w:ilvl w:val="0"/>
          <w:numId w:val="3"/>
        </w:num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promouvant le renforcement des capacités et la formation des Bourses membres ;  </w:t>
      </w:r>
    </w:p>
    <w:p w14:paraId="61B9409A" w14:textId="77777777" w:rsidR="00147E56" w:rsidRPr="003070D8" w:rsidRDefault="00147E56" w:rsidP="003070D8">
      <w:pPr>
        <w:pStyle w:val="Paragraphedeliste"/>
        <w:numPr>
          <w:ilvl w:val="0"/>
          <w:numId w:val="3"/>
        </w:numPr>
        <w:spacing w:after="0" w:line="276" w:lineRule="auto"/>
        <w:jc w:val="both"/>
        <w:rPr>
          <w:rFonts w:asciiTheme="majorHAnsi" w:hAnsiTheme="majorHAnsi" w:cstheme="majorHAnsi"/>
          <w:sz w:val="20"/>
          <w:szCs w:val="20"/>
        </w:rPr>
      </w:pPr>
      <w:r w:rsidRPr="003070D8">
        <w:rPr>
          <w:rFonts w:asciiTheme="majorHAnsi" w:hAnsiTheme="majorHAnsi" w:cstheme="majorHAnsi"/>
          <w:sz w:val="20"/>
          <w:szCs w:val="20"/>
        </w:rPr>
        <w:t xml:space="preserve">en initiant des alliances stratégiques au nom de ses bourses membres. </w:t>
      </w:r>
    </w:p>
    <w:p w14:paraId="1AF03175" w14:textId="77777777" w:rsidR="00147E56" w:rsidRPr="003070D8" w:rsidRDefault="003070D8" w:rsidP="003070D8">
      <w:pPr>
        <w:spacing w:after="0" w:line="276" w:lineRule="auto"/>
        <w:jc w:val="both"/>
        <w:rPr>
          <w:rFonts w:asciiTheme="majorHAnsi" w:hAnsiTheme="majorHAnsi" w:cstheme="majorHAnsi"/>
          <w:sz w:val="20"/>
          <w:szCs w:val="20"/>
          <w:u w:val="single"/>
        </w:rPr>
      </w:pPr>
      <w:r w:rsidRPr="003070D8">
        <w:rPr>
          <w:rFonts w:asciiTheme="majorHAnsi" w:hAnsiTheme="majorHAnsi" w:cstheme="majorHAnsi"/>
          <w:sz w:val="20"/>
          <w:szCs w:val="20"/>
        </w:rPr>
        <w:t xml:space="preserve">Vision : </w:t>
      </w:r>
      <w:r w:rsidR="00147E56" w:rsidRPr="003070D8">
        <w:rPr>
          <w:rFonts w:asciiTheme="majorHAnsi" w:hAnsiTheme="majorHAnsi" w:cstheme="majorHAnsi"/>
          <w:sz w:val="20"/>
          <w:szCs w:val="20"/>
        </w:rPr>
        <w:t xml:space="preserve">Un marché financier africain dynamique avec un ratio moyen capitalisation boursière/PIB de 123% d'ici 2023. </w:t>
      </w:r>
    </w:p>
    <w:p w14:paraId="0BA6235C" w14:textId="77777777" w:rsidR="00147E56" w:rsidRPr="003070D8" w:rsidRDefault="00147E56" w:rsidP="003070D8">
      <w:pPr>
        <w:spacing w:after="0" w:line="276" w:lineRule="auto"/>
        <w:jc w:val="both"/>
        <w:rPr>
          <w:rFonts w:asciiTheme="majorHAnsi" w:hAnsiTheme="majorHAnsi" w:cstheme="majorHAnsi"/>
          <w:sz w:val="20"/>
          <w:szCs w:val="20"/>
          <w:u w:val="single"/>
        </w:rPr>
      </w:pPr>
      <w:r w:rsidRPr="003070D8">
        <w:rPr>
          <w:rFonts w:asciiTheme="majorHAnsi" w:hAnsiTheme="majorHAnsi" w:cstheme="majorHAnsi"/>
          <w:sz w:val="20"/>
          <w:szCs w:val="20"/>
        </w:rPr>
        <w:t>Mission</w:t>
      </w:r>
      <w:r w:rsidR="003070D8" w:rsidRPr="003070D8">
        <w:rPr>
          <w:rFonts w:asciiTheme="majorHAnsi" w:hAnsiTheme="majorHAnsi" w:cstheme="majorHAnsi"/>
          <w:sz w:val="20"/>
          <w:szCs w:val="20"/>
        </w:rPr>
        <w:t xml:space="preserve"> : </w:t>
      </w:r>
      <w:r w:rsidRPr="003070D8">
        <w:rPr>
          <w:rFonts w:asciiTheme="majorHAnsi" w:hAnsiTheme="majorHAnsi" w:cstheme="majorHAnsi"/>
          <w:sz w:val="20"/>
          <w:szCs w:val="20"/>
        </w:rPr>
        <w:t xml:space="preserve">Engager les écosystèmes des marchés de capitaux africains afin de favoriser la mobilisation des capitaux, de promouvoir la durabilité et d'améliorer l'inclusion financière au profit du développement économique de l'Afrique. </w:t>
      </w:r>
    </w:p>
    <w:p w14:paraId="7FA72954" w14:textId="77777777" w:rsidR="00B260D5" w:rsidRDefault="00B260D5" w:rsidP="00147E56">
      <w:pPr>
        <w:spacing w:after="0" w:line="276" w:lineRule="auto"/>
      </w:pPr>
    </w:p>
    <w:p w14:paraId="4AE98276" w14:textId="77777777" w:rsidR="00147E56" w:rsidRPr="003070D8" w:rsidRDefault="007C2FBB" w:rsidP="00147E56">
      <w:pPr>
        <w:spacing w:after="0" w:line="276" w:lineRule="auto"/>
        <w:rPr>
          <w:rFonts w:asciiTheme="majorHAnsi" w:hAnsiTheme="majorHAnsi" w:cstheme="majorHAnsi"/>
          <w:sz w:val="20"/>
          <w:szCs w:val="20"/>
          <w:lang w:val="en-US"/>
        </w:rPr>
      </w:pPr>
      <w:hyperlink r:id="rId15" w:history="1">
        <w:r w:rsidR="00032901" w:rsidRPr="003070D8">
          <w:rPr>
            <w:rStyle w:val="Lienhypertexte"/>
            <w:rFonts w:asciiTheme="majorHAnsi" w:hAnsiTheme="majorHAnsi" w:cstheme="majorHAnsi"/>
            <w:sz w:val="20"/>
            <w:szCs w:val="20"/>
            <w:lang w:val="en-US"/>
          </w:rPr>
          <w:t>www.african-exchanges.org</w:t>
        </w:r>
      </w:hyperlink>
      <w:r w:rsidR="00147E56" w:rsidRPr="003070D8">
        <w:rPr>
          <w:rFonts w:asciiTheme="majorHAnsi" w:hAnsiTheme="majorHAnsi" w:cstheme="majorHAnsi"/>
          <w:sz w:val="20"/>
          <w:szCs w:val="20"/>
          <w:lang w:val="en-US"/>
        </w:rPr>
        <w:t xml:space="preserve"> </w:t>
      </w:r>
      <w:r w:rsidR="003070D8">
        <w:rPr>
          <w:rFonts w:asciiTheme="majorHAnsi" w:hAnsiTheme="majorHAnsi" w:cstheme="majorHAnsi"/>
          <w:sz w:val="20"/>
          <w:szCs w:val="20"/>
          <w:lang w:val="en-US"/>
        </w:rPr>
        <w:t xml:space="preserve">                 </w:t>
      </w:r>
      <w:r w:rsidR="006075C4" w:rsidRPr="000E5531">
        <w:rPr>
          <w:rFonts w:asciiTheme="majorHAnsi" w:hAnsiTheme="majorHAnsi" w:cstheme="majorHAnsi"/>
          <w:b/>
          <w:lang w:val="en-US"/>
        </w:rPr>
        <w:t>LinkedIn</w:t>
      </w:r>
      <w:r w:rsidR="00147E56" w:rsidRPr="000E5531">
        <w:rPr>
          <w:rFonts w:asciiTheme="majorHAnsi" w:hAnsiTheme="majorHAnsi" w:cstheme="majorHAnsi"/>
          <w:lang w:val="en-US"/>
        </w:rPr>
        <w:t xml:space="preserve">: ASEA Secretariat </w:t>
      </w:r>
      <w:r w:rsidR="003070D8">
        <w:rPr>
          <w:rFonts w:asciiTheme="majorHAnsi" w:hAnsiTheme="majorHAnsi" w:cstheme="majorHAnsi"/>
          <w:sz w:val="20"/>
          <w:szCs w:val="20"/>
          <w:lang w:val="en-US"/>
        </w:rPr>
        <w:t xml:space="preserve">             </w:t>
      </w:r>
      <w:r w:rsidR="003070D8" w:rsidRPr="003070D8">
        <w:rPr>
          <w:rFonts w:asciiTheme="majorHAnsi" w:hAnsiTheme="majorHAnsi" w:cstheme="majorHAnsi"/>
          <w:b/>
          <w:lang w:val="en-US"/>
        </w:rPr>
        <w:t>Twitter:</w:t>
      </w:r>
      <w:r w:rsidR="00147E56" w:rsidRPr="003070D8">
        <w:rPr>
          <w:rFonts w:asciiTheme="majorHAnsi" w:hAnsiTheme="majorHAnsi" w:cstheme="majorHAnsi"/>
          <w:lang w:val="en-US"/>
        </w:rPr>
        <w:t xml:space="preserve"> @AseaSecretariat </w:t>
      </w:r>
    </w:p>
    <w:p w14:paraId="7B3EC7F3" w14:textId="77777777" w:rsidR="00032901" w:rsidRPr="003070D8" w:rsidRDefault="00032901" w:rsidP="00147E56">
      <w:pPr>
        <w:spacing w:after="0" w:line="276" w:lineRule="auto"/>
        <w:rPr>
          <w:rFonts w:asciiTheme="majorHAnsi" w:hAnsiTheme="majorHAnsi" w:cstheme="majorHAnsi"/>
          <w:lang w:val="en-US"/>
        </w:rPr>
      </w:pPr>
    </w:p>
    <w:p w14:paraId="3289A260" w14:textId="77777777" w:rsidR="00B260D5" w:rsidRDefault="00B260D5" w:rsidP="00147E56">
      <w:pPr>
        <w:spacing w:after="0" w:line="276" w:lineRule="auto"/>
        <w:rPr>
          <w:rFonts w:asciiTheme="majorHAnsi" w:hAnsiTheme="majorHAnsi" w:cstheme="majorHAnsi"/>
          <w:b/>
          <w:sz w:val="24"/>
          <w:lang w:val="en-US"/>
        </w:rPr>
      </w:pPr>
    </w:p>
    <w:p w14:paraId="65270255" w14:textId="77777777" w:rsidR="00032901" w:rsidRPr="002C4A3F" w:rsidRDefault="00032901" w:rsidP="00147E56">
      <w:pPr>
        <w:spacing w:after="0" w:line="276" w:lineRule="auto"/>
        <w:rPr>
          <w:rFonts w:asciiTheme="majorHAnsi" w:hAnsiTheme="majorHAnsi" w:cstheme="majorHAnsi"/>
          <w:b/>
          <w:sz w:val="24"/>
        </w:rPr>
      </w:pPr>
      <w:r w:rsidRPr="002C4A3F">
        <w:rPr>
          <w:rFonts w:asciiTheme="majorHAnsi" w:hAnsiTheme="majorHAnsi" w:cstheme="majorHAnsi"/>
          <w:b/>
          <w:sz w:val="24"/>
        </w:rPr>
        <w:t>A propos de la Bourse de Casablanca</w:t>
      </w:r>
    </w:p>
    <w:p w14:paraId="24915F55" w14:textId="77777777" w:rsidR="00032901" w:rsidRPr="002F7459" w:rsidRDefault="00032901" w:rsidP="003070D8">
      <w:pPr>
        <w:spacing w:after="0" w:line="276" w:lineRule="auto"/>
        <w:jc w:val="both"/>
        <w:rPr>
          <w:rFonts w:asciiTheme="majorHAnsi" w:hAnsiTheme="majorHAnsi" w:cstheme="majorHAnsi"/>
          <w:sz w:val="20"/>
          <w:szCs w:val="20"/>
        </w:rPr>
      </w:pPr>
      <w:r w:rsidRPr="002F7459">
        <w:rPr>
          <w:rFonts w:asciiTheme="majorHAnsi" w:hAnsiTheme="majorHAnsi" w:cstheme="majorHAnsi"/>
          <w:sz w:val="20"/>
          <w:szCs w:val="20"/>
        </w:rPr>
        <w:t>La Bourse de Casablanca a été créée en 1929. Elle exerce sous la tutelle du Ministère de l’Economie et des Finances dans le cadre d’un cahier des charges et a pour mission d’enrichir de manière continue l’offre de produits et services, de développer et de déployer une stratégie globale commune aux différentes composantes du marché boursier, d’en développer l’infrastructure, de contribuer à son développement et de gérer des entités consécutives de l’infrastructure relevant de la Holding. La Bourse de Casablanca se positionne parmi les principales places en Afrique. A fin septembre 2021, la capitalisation s’est établie à 677,2 milliards MAD. Depuis quelques années, la Bourse de Casablanca a renforcé son ouverture sur les places financières africaines, ainsi que ses relations avec les opérateurs du continent. Elle est membre actif de l’</w:t>
      </w:r>
      <w:proofErr w:type="spellStart"/>
      <w:r w:rsidRPr="002F7459">
        <w:rPr>
          <w:rFonts w:asciiTheme="majorHAnsi" w:hAnsiTheme="majorHAnsi" w:cstheme="majorHAnsi"/>
          <w:sz w:val="20"/>
          <w:szCs w:val="20"/>
        </w:rPr>
        <w:t>African</w:t>
      </w:r>
      <w:proofErr w:type="spellEnd"/>
      <w:r w:rsidRPr="002F7459">
        <w:rPr>
          <w:rFonts w:asciiTheme="majorHAnsi" w:hAnsiTheme="majorHAnsi" w:cstheme="majorHAnsi"/>
          <w:sz w:val="20"/>
          <w:szCs w:val="20"/>
        </w:rPr>
        <w:t xml:space="preserve"> Securities Exchanges Association et en a assuré la présidence pendant près de 2 ans. </w:t>
      </w:r>
    </w:p>
    <w:p w14:paraId="7802FB4B" w14:textId="77777777" w:rsidR="00B260D5" w:rsidRDefault="00B260D5" w:rsidP="003070D8">
      <w:pPr>
        <w:spacing w:after="0" w:line="276" w:lineRule="auto"/>
      </w:pPr>
    </w:p>
    <w:p w14:paraId="256F6E06" w14:textId="77777777" w:rsidR="000E5531" w:rsidRPr="002F7459" w:rsidRDefault="007C2FBB" w:rsidP="003070D8">
      <w:pPr>
        <w:spacing w:after="0" w:line="276" w:lineRule="auto"/>
        <w:rPr>
          <w:rFonts w:asciiTheme="majorHAnsi" w:eastAsia="Times New Roman" w:hAnsiTheme="majorHAnsi" w:cstheme="majorHAnsi"/>
          <w:sz w:val="20"/>
          <w:szCs w:val="20"/>
          <w:lang w:val="en-US" w:eastAsia="fr-FR"/>
        </w:rPr>
      </w:pPr>
      <w:hyperlink r:id="rId16" w:history="1">
        <w:r w:rsidR="00032901" w:rsidRPr="002F7459">
          <w:rPr>
            <w:rStyle w:val="Lienhypertexte"/>
            <w:rFonts w:asciiTheme="majorHAnsi" w:hAnsiTheme="majorHAnsi" w:cstheme="majorHAnsi"/>
            <w:sz w:val="20"/>
            <w:szCs w:val="20"/>
            <w:lang w:val="en-US"/>
          </w:rPr>
          <w:t>www.casablanca-bourse.com</w:t>
        </w:r>
      </w:hyperlink>
      <w:r w:rsidR="00032901" w:rsidRPr="002F7459">
        <w:rPr>
          <w:rFonts w:asciiTheme="majorHAnsi" w:hAnsiTheme="majorHAnsi" w:cstheme="majorHAnsi"/>
          <w:sz w:val="20"/>
          <w:szCs w:val="20"/>
          <w:lang w:val="en-US"/>
        </w:rPr>
        <w:t xml:space="preserve"> </w:t>
      </w:r>
      <w:r w:rsidR="003070D8" w:rsidRPr="002F7459">
        <w:rPr>
          <w:rFonts w:asciiTheme="majorHAnsi" w:hAnsiTheme="majorHAnsi" w:cstheme="majorHAnsi"/>
          <w:sz w:val="20"/>
          <w:szCs w:val="20"/>
          <w:lang w:val="en-US"/>
        </w:rPr>
        <w:t xml:space="preserve">      </w:t>
      </w:r>
      <w:r w:rsidR="006075C4" w:rsidRPr="002F7459">
        <w:rPr>
          <w:rFonts w:asciiTheme="majorHAnsi" w:hAnsiTheme="majorHAnsi" w:cstheme="majorHAnsi"/>
          <w:b/>
          <w:sz w:val="20"/>
          <w:szCs w:val="20"/>
          <w:lang w:val="en-US"/>
        </w:rPr>
        <w:t>LinkedIn</w:t>
      </w:r>
      <w:r w:rsidR="00032901" w:rsidRPr="002F7459">
        <w:rPr>
          <w:rFonts w:asciiTheme="majorHAnsi" w:hAnsiTheme="majorHAnsi" w:cstheme="majorHAnsi"/>
          <w:b/>
          <w:sz w:val="20"/>
          <w:szCs w:val="20"/>
          <w:lang w:val="en-US"/>
        </w:rPr>
        <w:t>:</w:t>
      </w:r>
      <w:r w:rsidR="00032901" w:rsidRPr="002F7459">
        <w:rPr>
          <w:rFonts w:asciiTheme="majorHAnsi" w:hAnsiTheme="majorHAnsi" w:cstheme="majorHAnsi"/>
          <w:sz w:val="20"/>
          <w:szCs w:val="20"/>
          <w:lang w:val="en-US"/>
        </w:rPr>
        <w:t xml:space="preserve"> Casablanca Stock Exchange </w:t>
      </w:r>
      <w:r w:rsidR="003070D8" w:rsidRPr="002F7459">
        <w:rPr>
          <w:rFonts w:asciiTheme="majorHAnsi" w:hAnsiTheme="majorHAnsi" w:cstheme="majorHAnsi"/>
          <w:sz w:val="20"/>
          <w:szCs w:val="20"/>
          <w:lang w:val="en-US"/>
        </w:rPr>
        <w:t xml:space="preserve">     </w:t>
      </w:r>
      <w:r w:rsidR="00032901" w:rsidRPr="002F7459">
        <w:rPr>
          <w:rFonts w:asciiTheme="majorHAnsi" w:hAnsiTheme="majorHAnsi" w:cstheme="majorHAnsi"/>
          <w:b/>
          <w:sz w:val="20"/>
          <w:szCs w:val="20"/>
          <w:lang w:val="en-US"/>
        </w:rPr>
        <w:t xml:space="preserve">Twitter: </w:t>
      </w:r>
      <w:r w:rsidR="00032901" w:rsidRPr="002F7459">
        <w:rPr>
          <w:rFonts w:asciiTheme="majorHAnsi" w:hAnsiTheme="majorHAnsi" w:cstheme="majorHAnsi"/>
          <w:sz w:val="20"/>
          <w:szCs w:val="20"/>
          <w:lang w:val="en-US"/>
        </w:rPr>
        <w:t xml:space="preserve">@BoursedeCasa </w:t>
      </w:r>
    </w:p>
    <w:sectPr w:rsidR="000E5531" w:rsidRPr="002F745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6DEC" w14:textId="77777777" w:rsidR="007C2FBB" w:rsidRDefault="007C2FBB" w:rsidP="00032901">
      <w:pPr>
        <w:spacing w:after="0" w:line="240" w:lineRule="auto"/>
      </w:pPr>
      <w:r>
        <w:separator/>
      </w:r>
    </w:p>
  </w:endnote>
  <w:endnote w:type="continuationSeparator" w:id="0">
    <w:p w14:paraId="272565EA" w14:textId="77777777" w:rsidR="007C2FBB" w:rsidRDefault="007C2FBB" w:rsidP="0003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CF1E" w14:textId="77777777" w:rsidR="00032901" w:rsidRPr="006075C4" w:rsidRDefault="00032901">
    <w:pPr>
      <w:pStyle w:val="Pieddepage"/>
      <w:rPr>
        <w:b/>
        <w:u w:val="single"/>
      </w:rPr>
    </w:pPr>
    <w:r w:rsidRPr="006075C4">
      <w:rPr>
        <w:b/>
        <w:u w:val="single"/>
      </w:rPr>
      <w:t xml:space="preserve">Contact média : </w:t>
    </w:r>
  </w:p>
  <w:p w14:paraId="4CA5799B" w14:textId="16DC29E0" w:rsidR="006075C4" w:rsidRDefault="006075C4">
    <w:pPr>
      <w:pStyle w:val="Pieddepage"/>
    </w:pPr>
    <w:proofErr w:type="spellStart"/>
    <w:r>
      <w:t>Scriptum</w:t>
    </w:r>
    <w:proofErr w:type="spellEnd"/>
    <w:r>
      <w:t xml:space="preserve"> </w:t>
    </w:r>
    <w:r w:rsidR="003070D8">
      <w:t xml:space="preserve">- </w:t>
    </w:r>
    <w:r>
      <w:t xml:space="preserve">Houria Sedrati </w:t>
    </w:r>
  </w:p>
  <w:p w14:paraId="173F38C4" w14:textId="0E105F16" w:rsidR="00EB049A" w:rsidRDefault="00EB049A">
    <w:pPr>
      <w:pStyle w:val="Pieddepage"/>
    </w:pPr>
    <w:hyperlink r:id="rId1" w:history="1">
      <w:r w:rsidRPr="00EC77F0">
        <w:rPr>
          <w:rStyle w:val="Lienhypertexte"/>
        </w:rPr>
        <w:t>Sedrati.houria@gmail.com</w:t>
      </w:r>
    </w:hyperlink>
  </w:p>
  <w:p w14:paraId="25B911D2" w14:textId="7A2776A0" w:rsidR="00EB049A" w:rsidRDefault="00EB049A">
    <w:pPr>
      <w:pStyle w:val="Pieddepage"/>
    </w:pPr>
    <w:r>
      <w:t>06 61 93 25 73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C3E2" w14:textId="77777777" w:rsidR="007C2FBB" w:rsidRDefault="007C2FBB" w:rsidP="00032901">
      <w:pPr>
        <w:spacing w:after="0" w:line="240" w:lineRule="auto"/>
      </w:pPr>
      <w:r>
        <w:separator/>
      </w:r>
    </w:p>
  </w:footnote>
  <w:footnote w:type="continuationSeparator" w:id="0">
    <w:p w14:paraId="1151DB45" w14:textId="77777777" w:rsidR="007C2FBB" w:rsidRDefault="007C2FBB" w:rsidP="0003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525B" w14:textId="77777777" w:rsidR="00032901" w:rsidRDefault="00032901">
    <w:pPr>
      <w:pStyle w:val="En-tte"/>
    </w:pPr>
    <w:r w:rsidRPr="00032901">
      <w:rPr>
        <w:noProof/>
        <w:lang w:eastAsia="fr-FR"/>
      </w:rPr>
      <w:drawing>
        <wp:inline distT="0" distB="0" distL="0" distR="0" wp14:anchorId="1537CD3A" wp14:editId="18C8EEC8">
          <wp:extent cx="1841500" cy="859367"/>
          <wp:effectExtent l="0" t="0" r="0" b="0"/>
          <wp:docPr id="2" name="Image 2" descr="C:\Users\user\Downloads\Logo AS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 AS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06" cy="865577"/>
                  </a:xfrm>
                  <a:prstGeom prst="rect">
                    <a:avLst/>
                  </a:prstGeom>
                  <a:noFill/>
                  <a:ln>
                    <a:noFill/>
                  </a:ln>
                </pic:spPr>
              </pic:pic>
            </a:graphicData>
          </a:graphic>
        </wp:inline>
      </w:drawing>
    </w:r>
    <w:r>
      <w:t xml:space="preserve">                                      </w:t>
    </w:r>
    <w:r w:rsidR="002C4A3F">
      <w:t xml:space="preserve">         </w:t>
    </w:r>
    <w:r>
      <w:t xml:space="preserve">                                            </w:t>
    </w:r>
    <w:r w:rsidRPr="00032901">
      <w:rPr>
        <w:noProof/>
        <w:lang w:eastAsia="fr-FR"/>
      </w:rPr>
      <w:drawing>
        <wp:inline distT="0" distB="0" distL="0" distR="0" wp14:anchorId="6F7D37C9" wp14:editId="31D1FEA6">
          <wp:extent cx="1044147" cy="1280490"/>
          <wp:effectExtent l="0" t="0" r="0" b="0"/>
          <wp:docPr id="1" name="Image 1" descr="C:\Users\user\Downloads\Logo Bourse Casabla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ourse Casablan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648" cy="1298274"/>
                  </a:xfrm>
                  <a:prstGeom prst="rect">
                    <a:avLst/>
                  </a:prstGeom>
                  <a:noFill/>
                  <a:ln>
                    <a:noFill/>
                  </a:ln>
                </pic:spPr>
              </pic:pic>
            </a:graphicData>
          </a:graphic>
        </wp:inline>
      </w:drawing>
    </w:r>
  </w:p>
  <w:p w14:paraId="36F6641F" w14:textId="77777777" w:rsidR="00C67E31" w:rsidRDefault="00C67E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137"/>
    <w:multiLevelType w:val="hybridMultilevel"/>
    <w:tmpl w:val="023069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A27C7"/>
    <w:multiLevelType w:val="hybridMultilevel"/>
    <w:tmpl w:val="7C3A4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5B21D9"/>
    <w:multiLevelType w:val="hybridMultilevel"/>
    <w:tmpl w:val="5914B702"/>
    <w:lvl w:ilvl="0" w:tplc="09EC0274">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F600A"/>
    <w:multiLevelType w:val="hybridMultilevel"/>
    <w:tmpl w:val="C51C3CC8"/>
    <w:lvl w:ilvl="0" w:tplc="DC58A7EE">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347798"/>
    <w:multiLevelType w:val="hybridMultilevel"/>
    <w:tmpl w:val="D402F4CE"/>
    <w:lvl w:ilvl="0" w:tplc="768439D4">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17"/>
    <w:rsid w:val="00032901"/>
    <w:rsid w:val="00041A7A"/>
    <w:rsid w:val="00092517"/>
    <w:rsid w:val="000E4031"/>
    <w:rsid w:val="000E5531"/>
    <w:rsid w:val="00147E56"/>
    <w:rsid w:val="00185B68"/>
    <w:rsid w:val="0019614A"/>
    <w:rsid w:val="002C4A3F"/>
    <w:rsid w:val="002F7459"/>
    <w:rsid w:val="003070D8"/>
    <w:rsid w:val="003A32DC"/>
    <w:rsid w:val="00526168"/>
    <w:rsid w:val="005925CF"/>
    <w:rsid w:val="006075C4"/>
    <w:rsid w:val="0062109F"/>
    <w:rsid w:val="007C2FBB"/>
    <w:rsid w:val="00885768"/>
    <w:rsid w:val="009514AF"/>
    <w:rsid w:val="00A0184E"/>
    <w:rsid w:val="00AC7D83"/>
    <w:rsid w:val="00B260D5"/>
    <w:rsid w:val="00B46D83"/>
    <w:rsid w:val="00B51945"/>
    <w:rsid w:val="00B60B11"/>
    <w:rsid w:val="00BC0A48"/>
    <w:rsid w:val="00C079CE"/>
    <w:rsid w:val="00C67E31"/>
    <w:rsid w:val="00C93F65"/>
    <w:rsid w:val="00D02400"/>
    <w:rsid w:val="00DD295E"/>
    <w:rsid w:val="00DE6456"/>
    <w:rsid w:val="00E01FAE"/>
    <w:rsid w:val="00EB049A"/>
    <w:rsid w:val="00F72460"/>
    <w:rsid w:val="00FB442D"/>
    <w:rsid w:val="00FF29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E0BC"/>
  <w15:chartTrackingRefBased/>
  <w15:docId w15:val="{269BD11F-EF2F-42B9-B52E-A7CBB77A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1Clair-Accentuation1">
    <w:name w:val="Grid Table 1 Light Accent 1"/>
    <w:basedOn w:val="TableauNormal"/>
    <w:uiPriority w:val="46"/>
    <w:rsid w:val="00A018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32901"/>
    <w:rPr>
      <w:color w:val="0563C1" w:themeColor="hyperlink"/>
      <w:u w:val="single"/>
    </w:rPr>
  </w:style>
  <w:style w:type="paragraph" w:styleId="En-tte">
    <w:name w:val="header"/>
    <w:basedOn w:val="Normal"/>
    <w:link w:val="En-tteCar"/>
    <w:uiPriority w:val="99"/>
    <w:unhideWhenUsed/>
    <w:rsid w:val="00032901"/>
    <w:pPr>
      <w:tabs>
        <w:tab w:val="center" w:pos="4536"/>
        <w:tab w:val="right" w:pos="9072"/>
      </w:tabs>
      <w:spacing w:after="0" w:line="240" w:lineRule="auto"/>
    </w:pPr>
  </w:style>
  <w:style w:type="character" w:customStyle="1" w:styleId="En-tteCar">
    <w:name w:val="En-tête Car"/>
    <w:basedOn w:val="Policepardfaut"/>
    <w:link w:val="En-tte"/>
    <w:uiPriority w:val="99"/>
    <w:rsid w:val="00032901"/>
  </w:style>
  <w:style w:type="paragraph" w:styleId="Pieddepage">
    <w:name w:val="footer"/>
    <w:basedOn w:val="Normal"/>
    <w:link w:val="PieddepageCar"/>
    <w:uiPriority w:val="99"/>
    <w:unhideWhenUsed/>
    <w:rsid w:val="000329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901"/>
  </w:style>
  <w:style w:type="paragraph" w:styleId="Paragraphedeliste">
    <w:name w:val="List Paragraph"/>
    <w:basedOn w:val="Normal"/>
    <w:uiPriority w:val="34"/>
    <w:qFormat/>
    <w:rsid w:val="00032901"/>
    <w:pPr>
      <w:ind w:left="720"/>
      <w:contextualSpacing/>
    </w:pPr>
  </w:style>
  <w:style w:type="character" w:styleId="Lienhypertextesuivivisit">
    <w:name w:val="FollowedHyperlink"/>
    <w:basedOn w:val="Policepardfaut"/>
    <w:uiPriority w:val="99"/>
    <w:semiHidden/>
    <w:unhideWhenUsed/>
    <w:rsid w:val="002C4A3F"/>
    <w:rPr>
      <w:color w:val="954F72" w:themeColor="followedHyperlink"/>
      <w:u w:val="single"/>
    </w:rPr>
  </w:style>
  <w:style w:type="character" w:styleId="Mentionnonrsolue">
    <w:name w:val="Unresolved Mention"/>
    <w:basedOn w:val="Policepardfaut"/>
    <w:uiPriority w:val="99"/>
    <w:semiHidden/>
    <w:unhideWhenUsed/>
    <w:rsid w:val="00EB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297">
      <w:bodyDiv w:val="1"/>
      <w:marLeft w:val="0"/>
      <w:marRight w:val="0"/>
      <w:marTop w:val="0"/>
      <w:marBottom w:val="0"/>
      <w:divBdr>
        <w:top w:val="none" w:sz="0" w:space="0" w:color="auto"/>
        <w:left w:val="none" w:sz="0" w:space="0" w:color="auto"/>
        <w:bottom w:val="none" w:sz="0" w:space="0" w:color="auto"/>
        <w:right w:val="none" w:sz="0" w:space="0" w:color="auto"/>
      </w:divBdr>
    </w:div>
    <w:div w:id="12993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OEVZU02bUCAgH6p2jqKdTBdRS_WFUFBjWk_ufzUXr5UMllRRUdSUFNTQVVHQUxJMU1BU09ISkJUSy4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eaconference.ma" TargetMode="External"/><Relationship Id="rId12" Type="http://schemas.openxmlformats.org/officeDocument/2006/relationships/hyperlink" Target="https://twitter.com/BoursedeCas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sablanca-bours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african-exchanges.org" TargetMode="External"/><Relationship Id="rId10" Type="http://schemas.openxmlformats.org/officeDocument/2006/relationships/hyperlink" Target="https://www.linkedin.com/company/casablanca-stock-excha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LaBoursedeCasablan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drati.houri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903</Words>
  <Characters>4970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houria sedrati</cp:lastModifiedBy>
  <cp:revision>4</cp:revision>
  <dcterms:created xsi:type="dcterms:W3CDTF">2021-11-19T08:05:00Z</dcterms:created>
  <dcterms:modified xsi:type="dcterms:W3CDTF">2021-11-19T10:21:00Z</dcterms:modified>
</cp:coreProperties>
</file>